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Task Force Recommendations to Improve Indiana’s Guardianship System.</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By: H. Kennard Bennett</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The Indiana Guardianship Oversight Task Force (GOTF) published its final report and recommendations on March 4, 2026. It is now available on the Court’s website.</w:t>
      </w:r>
      <w:r w:rsidDel="00000000" w:rsidR="00000000" w:rsidRPr="00000000">
        <w:rPr>
          <w:vertAlign w:val="superscript"/>
        </w:rPr>
        <w:footnoteReference w:customMarkFollows="0" w:id="0"/>
      </w:r>
      <w:r w:rsidDel="00000000" w:rsidR="00000000" w:rsidRPr="00000000">
        <w:rPr>
          <w:rtl w:val="0"/>
        </w:rPr>
        <w:t xml:space="preserve">  The GOTF, together with other stakeholders, will be continuing its work through 2026 to develop action plans for the implementation of many of its recommendations.</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sz w:val="24"/>
          <w:szCs w:val="24"/>
        </w:rPr>
      </w:pPr>
      <w:r w:rsidDel="00000000" w:rsidR="00000000" w:rsidRPr="00000000">
        <w:rPr>
          <w:rtl w:val="0"/>
        </w:rPr>
        <w:t xml:space="preserve">The GOTF was established by Order of the Indiana Supreme Court in late 2024.  </w:t>
      </w:r>
      <w:r w:rsidDel="00000000" w:rsidR="00000000" w:rsidRPr="00000000">
        <w:rPr>
          <w:i w:val="1"/>
          <w:iCs w:val="1"/>
          <w:rtl w:val="0"/>
        </w:rPr>
        <w:t xml:space="preserve">“</w:t>
      </w:r>
      <w:r w:rsidDel="00000000" w:rsidR="00000000" w:rsidRPr="00000000">
        <w:rPr>
          <w:i w:val="1"/>
          <w:iCs w:val="1"/>
          <w:rtl w:val="0"/>
        </w:rPr>
        <w:t xml:space="preserve">Indiana’s court system is central to protecting seniors and adults with disabilities throughout our state. Each year, the number of vulnerable Hoosiers requiring guardianship or other caretaking services continues to rise. Caring for these individuals by coming together and creating a better system is both crucial and timely.</w:t>
      </w:r>
      <w:r w:rsidDel="00000000" w:rsidR="00000000" w:rsidRPr="00000000">
        <w:rPr>
          <w:rtl w:val="0"/>
        </w:rPr>
        <w:t xml:space="preserve">”</w:t>
      </w:r>
      <w:r w:rsidDel="00000000" w:rsidR="00000000" w:rsidRPr="00000000">
        <w:rPr>
          <w:vertAlign w:val="superscript"/>
        </w:rPr>
        <w:footnoteReference w:customMarkFollows="0" w:id="1"/>
      </w:r>
      <w:r w:rsidDel="00000000" w:rsidR="00000000" w:rsidRPr="00000000">
        <w:rPr>
          <w:rtl w:val="0"/>
        </w:rPr>
      </w:r>
    </w:p>
    <w:p w:rsidR="00000000" w:rsidDel="00000000" w:rsidP="00000000" w:rsidRDefault="00000000" w:rsidRPr="00000000" w14:paraId="00000008">
      <w:pPr>
        <w:rPr/>
      </w:pPr>
      <w:r w:rsidDel="00000000" w:rsidR="00000000" w:rsidRPr="00000000">
        <w:rPr>
          <w:rtl w:val="0"/>
        </w:rPr>
        <w:tab/>
        <w:tab/>
        <w:tab/>
        <w:tab/>
      </w:r>
    </w:p>
    <w:p w:rsidR="00000000" w:rsidDel="00000000" w:rsidP="00000000" w:rsidRDefault="00000000" w:rsidRPr="00000000" w14:paraId="00000009">
      <w:pPr>
        <w:rPr/>
      </w:pPr>
      <w:r w:rsidDel="00000000" w:rsidR="00000000" w:rsidRPr="00000000">
        <w:rPr>
          <w:rtl w:val="0"/>
        </w:rPr>
        <w:t xml:space="preserve">Meeting throughout 2025 the task force members fashioned a set of twenty-six recommendations in three categories: (1) Education, Resources and Data, (2) Standardized Practices and Procedures, and (3) Alternatives and Limiting Guardianships.</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b w:val="1"/>
          <w:bCs w:val="1"/>
          <w:u w:val="single"/>
        </w:rPr>
      </w:pPr>
      <w:r w:rsidDel="00000000" w:rsidR="00000000" w:rsidRPr="00000000">
        <w:rPr>
          <w:b w:val="1"/>
          <w:bCs w:val="1"/>
          <w:u w:val="single"/>
          <w:rtl w:val="0"/>
        </w:rPr>
        <w:t xml:space="preserve">Education, Resources and Data.</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The work of a guardian is increasingly complex, involving more than just signing consent forms and checks.  It requires complying with detailed legal requirements and local court rules; navigating a complex health care system to ensure that the protected person is receiving an optimal level of care and enjoying an optimal quality of life; understanding the ins and outs of the long term care system; dealing knowledgeably with our confusing and bureaucratic public benefits programs like Medicaid and Social Security; and the money management skills of a professional fiduciary.</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Any guardian hoping to do a good job by their ward needs to be sufficiently educated about the issues that will come their way.  The GOTF Report recognizes this and recommends the establishment of </w:t>
      </w:r>
      <w:r w:rsidDel="00000000" w:rsidR="00000000" w:rsidRPr="00000000">
        <w:rPr>
          <w:i w:val="1"/>
          <w:iCs w:val="1"/>
          <w:rtl w:val="0"/>
        </w:rPr>
        <w:t xml:space="preserve">“a centralized statewide curriculum to promote consistent guardianship practices. This can be accomplished by convening an interdisciplinary group of key stakeholders to develop a clear set of priorities and topics for guardianship trainings across the state.” </w:t>
      </w: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Building upon this established curriculum, the GOTF Report recommends the development of accessible online training modules, informational booklets, and in-person and recorded trainings on adult guardianship topics.  With these educational resources in place, mandatory training of guardians is also recommended, with the nature of training requirements differing between family and professional guardians.  </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Several other recommendations, including better data tracking, registration of professional guardians, and ongoing development of guardianship “best practices” in Indiana, are all designed to encourage the growth and development of guardianship as a profession.</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tabs>
          <w:tab w:val="right" w:leader="none" w:pos="9350"/>
        </w:tabs>
        <w:rPr>
          <w:b w:val="1"/>
          <w:bCs w:val="1"/>
          <w:u w:val="single"/>
        </w:rPr>
      </w:pPr>
      <w:r w:rsidDel="00000000" w:rsidR="00000000" w:rsidRPr="00000000">
        <w:rPr>
          <w:b w:val="1"/>
          <w:bCs w:val="1"/>
          <w:u w:val="single"/>
          <w:rtl w:val="0"/>
        </w:rPr>
        <w:t xml:space="preserve">Standardized Practices and Procedures.</w:t>
      </w:r>
    </w:p>
    <w:p w:rsidR="00000000" w:rsidDel="00000000" w:rsidP="00000000" w:rsidRDefault="00000000" w:rsidRPr="00000000" w14:paraId="00000016">
      <w:pPr>
        <w:tabs>
          <w:tab w:val="right" w:leader="none" w:pos="9350"/>
        </w:tabs>
        <w:rPr>
          <w:b w:val="1"/>
          <w:bCs w:val="1"/>
          <w:u w:val="single"/>
        </w:rPr>
      </w:pPr>
      <w:r w:rsidDel="00000000" w:rsidR="00000000" w:rsidRPr="00000000">
        <w:rPr>
          <w:rtl w:val="0"/>
        </w:rPr>
      </w:r>
    </w:p>
    <w:p w:rsidR="00000000" w:rsidDel="00000000" w:rsidP="00000000" w:rsidRDefault="00000000" w:rsidRPr="00000000" w14:paraId="00000017">
      <w:pPr>
        <w:tabs>
          <w:tab w:val="right" w:leader="none" w:pos="9350"/>
        </w:tabs>
        <w:rPr/>
      </w:pPr>
      <w:r w:rsidDel="00000000" w:rsidR="00000000" w:rsidRPr="00000000">
        <w:rPr>
          <w:rtl w:val="0"/>
        </w:rPr>
        <w:t xml:space="preserve">Indiana does not operate a unified court system.  While common rules of procedure and evidence apply throughout the state, court practices will vary from county to county.  When it comes to guardianship, local customs and practices can result in very different results.  Due to limited resources, not all courts can properly supervise the work of court appointed guardians.</w:t>
      </w:r>
    </w:p>
    <w:p w:rsidR="00000000" w:rsidDel="00000000" w:rsidP="00000000" w:rsidRDefault="00000000" w:rsidRPr="00000000" w14:paraId="00000018">
      <w:pPr>
        <w:tabs>
          <w:tab w:val="right" w:leader="none" w:pos="9350"/>
        </w:tabs>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The GOTF Report sets forth a series of recommendations to help standardize court practices by making it easier, and useful, for local courts to access best practices in the application of  guardianship law.  This includes making fine-tuned standardized orders easily accessible to judges.  It also includes the development of standardized physician report forms and guardian’s reporting and accounting tools.</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i w:val="1"/>
          <w:iCs w:val="1"/>
        </w:rPr>
      </w:pPr>
      <w:r w:rsidDel="00000000" w:rsidR="00000000" w:rsidRPr="00000000">
        <w:rPr>
          <w:rtl w:val="0"/>
        </w:rPr>
        <w:t xml:space="preserve">Courts also need field assistance to ensure that guardians are meeting the needs of protected persons.  The GOTF Report recommends the adoption of a court monitor program “</w:t>
      </w:r>
      <w:r w:rsidDel="00000000" w:rsidR="00000000" w:rsidRPr="00000000">
        <w:rPr>
          <w:i w:val="1"/>
          <w:iCs w:val="1"/>
          <w:rtl w:val="0"/>
        </w:rPr>
        <w:t xml:space="preserve">to help judicial officers investigate a guardianship as it progresses through the court and upon periodic review.” </w:t>
      </w:r>
      <w:r w:rsidDel="00000000" w:rsidR="00000000" w:rsidRPr="00000000">
        <w:rPr>
          <w:rtl w:val="0"/>
        </w:rPr>
        <w:t xml:space="preserve"> (Already, a court monitor pilot program is underway in Fountain County.)  In addition, the Report recommends a court ombudsman program </w:t>
      </w:r>
      <w:r w:rsidDel="00000000" w:rsidR="00000000" w:rsidRPr="00000000">
        <w:rPr>
          <w:i w:val="1"/>
          <w:iCs w:val="1"/>
          <w:rtl w:val="0"/>
        </w:rPr>
        <w:t xml:space="preserve">“specifically catered to guardianship abuse, neglect, and exploitation would greatly help the courts address concerns and remove any problematic guardianships.”</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b w:val="1"/>
          <w:bCs w:val="1"/>
          <w:u w:val="single"/>
        </w:rPr>
      </w:pPr>
      <w:r w:rsidDel="00000000" w:rsidR="00000000" w:rsidRPr="00000000">
        <w:rPr>
          <w:b w:val="1"/>
          <w:bCs w:val="1"/>
          <w:u w:val="single"/>
          <w:rtl w:val="0"/>
        </w:rPr>
        <w:t xml:space="preserve">Alternatives and Limiting Guardianships.</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The appointment of a guardian is a serious matter affecting the Constitutional rights of protected persons.  The GOTF Report includes several recommendations designed to help ensure that guardianship powers are limited where appropriate, that “off-ramps” are constructed to allow guardianships to be challenged and terminated when they become unnecessary, and that alternatives to guardianship are promoted and well understood, particularly for “emerging adults” in the 14 to 24 age range for whom too often guardianship is viewed as the default answer to meeting their needs.</w:t>
      </w:r>
    </w:p>
    <w:p w:rsidR="00000000" w:rsidDel="00000000" w:rsidP="00000000" w:rsidRDefault="00000000" w:rsidRPr="00000000" w14:paraId="00000020">
      <w:pPr>
        <w:rPr>
          <w:u w:val="single"/>
        </w:rPr>
      </w:pPr>
      <w:r w:rsidDel="00000000" w:rsidR="00000000" w:rsidRPr="00000000">
        <w:rPr>
          <w:rtl w:val="0"/>
        </w:rPr>
      </w:r>
    </w:p>
    <w:p w:rsidR="00000000" w:rsidDel="00000000" w:rsidP="00000000" w:rsidRDefault="00000000" w:rsidRPr="00000000" w14:paraId="00000021">
      <w:pPr>
        <w:rPr>
          <w:b w:val="1"/>
          <w:bCs w:val="1"/>
          <w:u w:val="single"/>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t xml:space="preserve">The GOTF Report is aspirational.  Not all of its recommendations will be able to be implemented, but there is good reason to believe that many will.  This Report builds upon a similar report and set of recommendations from 2012 entitled </w:t>
      </w:r>
      <w:r w:rsidDel="00000000" w:rsidR="00000000" w:rsidRPr="00000000">
        <w:rPr>
          <w:i w:val="1"/>
          <w:iCs w:val="1"/>
          <w:rtl w:val="0"/>
        </w:rPr>
        <w:t xml:space="preserve">Who’s Overseeing the Overseers? A Report on the State of Adult Guardianship in Indiana</w:t>
      </w:r>
      <w:r w:rsidDel="00000000" w:rsidR="00000000" w:rsidRPr="00000000">
        <w:rPr>
          <w:rtl w:val="0"/>
        </w:rPr>
        <w:t xml:space="preserve">.  Significantly, two important recommendations from that 2012 report were implemented and have changed the landscape for guardianship in Indiana.  </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t xml:space="preserve">The 2012 set of recommendations resulted in the creation of the Adult Guardianship Office within the Indiana Supreme Court, the creation of the guardianship registry that provides data on guardianships throughout the state, and the actual (though very limited) state funding for VASIA programs, including the Center for At-Risk Elders.  Now, with a staffed arm of the Supreme Court looking closely at guardianship-related issues, the actual implementation of the current GOTF Report recommendations is much more likely.</w:t>
      </w:r>
      <w:r w:rsidDel="00000000" w:rsidR="00000000" w:rsidRPr="00000000">
        <w:rPr>
          <w:rtl w:val="0"/>
        </w:rPr>
      </w:r>
    </w:p>
    <w:p w:rsidR="00000000" w:rsidDel="00000000" w:rsidP="00000000" w:rsidRDefault="00000000" w:rsidRPr="00000000" w14:paraId="00000025">
      <w:pPr>
        <w:rPr/>
      </w:pPr>
      <w:r w:rsidDel="00000000" w:rsidR="00000000" w:rsidRPr="00000000">
        <w:rPr>
          <w:rtl w:val="0"/>
        </w:rPr>
        <w:tab/>
      </w:r>
    </w:p>
    <w:p w:rsidR="00000000" w:rsidDel="00000000" w:rsidP="00000000" w:rsidRDefault="00000000" w:rsidRPr="00000000" w14:paraId="00000026">
      <w:pPr>
        <w:rPr/>
      </w:pPr>
      <w:r w:rsidDel="00000000" w:rsidR="00000000" w:rsidRPr="00000000">
        <w:rPr>
          <w:rtl w:val="0"/>
        </w:rPr>
        <w:tab/>
        <w:tab/>
      </w:r>
    </w:p>
    <w:p w:rsidR="00000000" w:rsidDel="00000000" w:rsidP="00000000" w:rsidRDefault="00000000" w:rsidRPr="00000000" w14:paraId="00000027">
      <w:pPr>
        <w:rPr/>
      </w:pPr>
      <w:r w:rsidDel="00000000" w:rsidR="00000000" w:rsidRPr="00000000">
        <w:rPr>
          <w:rtl w:val="0"/>
        </w:rPr>
        <w:tab/>
        <w:t xml:space="preserve"> </w:t>
      </w:r>
    </w:p>
    <w:p w:rsidR="00000000" w:rsidDel="00000000" w:rsidP="00000000" w:rsidRDefault="00000000" w:rsidRPr="00000000" w14:paraId="00000028">
      <w:pPr>
        <w:rPr/>
      </w:pPr>
      <w:r w:rsidDel="00000000" w:rsidR="00000000" w:rsidRPr="00000000">
        <w:rPr>
          <w:rtl w:val="0"/>
        </w:rPr>
        <w:tab/>
        <w:t xml:space="preserve"> </w:t>
      </w:r>
    </w:p>
    <w:sectPr>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B">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29">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https://www.in.gov/courts/iocs/committees/guardianship-task-force/</w:t>
      </w:r>
    </w:p>
  </w:footnote>
  <w:footnote w:id="1">
    <w:p w:rsidR="00000000" w:rsidDel="00000000" w:rsidP="00000000" w:rsidRDefault="00000000" w:rsidRPr="00000000" w14:paraId="0000002A">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https://www.in.gov/courts/files/order-other-2024-24S-MS-399.pdf</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